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Times New Roman" w:hAnsi="Times New Roman"/>
        </w:rPr>
      </w:pPr>
      <w:r>
        <w:rPr/>
        <w:drawing>
          <wp:anchor behindDoc="0" distT="0" distB="0" distL="0" distR="0" simplePos="0" locked="0" layoutInCell="0" allowOverlap="1" relativeHeight="2">
            <wp:simplePos x="0" y="0"/>
            <wp:positionH relativeFrom="column">
              <wp:posOffset>-64135</wp:posOffset>
            </wp:positionH>
            <wp:positionV relativeFrom="paragraph">
              <wp:posOffset>-63500</wp:posOffset>
            </wp:positionV>
            <wp:extent cx="2115820" cy="958215"/>
            <wp:effectExtent l="0" t="0" r="0" b="0"/>
            <wp:wrapSquare wrapText="largest"/>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rcRect l="-43" t="-96" r="-43" b="-96"/>
                    <a:stretch>
                      <a:fillRect/>
                    </a:stretch>
                  </pic:blipFill>
                  <pic:spPr bwMode="auto">
                    <a:xfrm>
                      <a:off x="0" y="0"/>
                      <a:ext cx="2115820" cy="958215"/>
                    </a:xfrm>
                    <a:prstGeom prst="rect">
                      <a:avLst/>
                    </a:prstGeom>
                  </pic:spPr>
                </pic:pic>
              </a:graphicData>
            </a:graphic>
          </wp:anchor>
        </w:drawing>
      </w:r>
    </w:p>
    <w:p>
      <w:pPr>
        <w:pStyle w:val="Normal"/>
        <w:rPr>
          <w:rFonts w:ascii="Times New Roman" w:hAnsi="Times New Roman"/>
        </w:rPr>
      </w:pPr>
      <w:r>
        <w:rPr/>
      </w:r>
    </w:p>
    <w:p>
      <w:pPr>
        <w:pStyle w:val="Normal"/>
        <w:rPr>
          <w:rFonts w:ascii="Times New Roman" w:hAnsi="Times New Roman"/>
        </w:rPr>
      </w:pPr>
      <w:r>
        <w:rPr/>
      </w:r>
    </w:p>
    <w:p>
      <w:pPr>
        <w:pStyle w:val="Normal"/>
        <w:rPr>
          <w:rFonts w:ascii="Times New Roman" w:hAnsi="Times New Roman"/>
        </w:rPr>
      </w:pPr>
      <w:r>
        <w:rPr/>
      </w:r>
    </w:p>
    <w:p>
      <w:pPr>
        <w:pStyle w:val="Normal"/>
        <w:rPr>
          <w:rFonts w:ascii="Times New Roman" w:hAnsi="Times New Roman"/>
        </w:rPr>
      </w:pPr>
      <w:r>
        <w:rPr/>
      </w:r>
    </w:p>
    <w:p>
      <w:pPr>
        <w:pStyle w:val="Normal"/>
        <w:rPr>
          <w:rFonts w:ascii="Times New Roman" w:hAnsi="Times New Roman"/>
        </w:rPr>
      </w:pPr>
      <w:r>
        <w:rPr/>
      </w:r>
    </w:p>
    <w:p>
      <w:pPr>
        <w:pStyle w:val="Normal"/>
        <w:jc w:val="right"/>
        <w:rPr>
          <w:rFonts w:ascii="Segoe UI" w:hAnsi="Segoe UI" w:cs="Segoe UI"/>
          <w:b/>
          <w:b/>
          <w:bCs/>
          <w:sz w:val="32"/>
          <w:szCs w:val="32"/>
        </w:rPr>
      </w:pPr>
      <w:r>
        <w:rPr>
          <w:rFonts w:cs="Segoe UI" w:ascii="Segoe UI" w:hAnsi="Segoe UI"/>
          <w:b/>
          <w:bCs/>
          <w:sz w:val="32"/>
          <w:szCs w:val="32"/>
        </w:rPr>
        <w:t>ПРЕСС-РЕЛИЗ</w:t>
      </w:r>
    </w:p>
    <w:p>
      <w:pPr>
        <w:pStyle w:val="Normal"/>
        <w:ind w:firstLine="709"/>
        <w:jc w:val="both"/>
        <w:rPr>
          <w:sz w:val="28"/>
          <w:szCs w:val="20"/>
        </w:rPr>
      </w:pPr>
      <w:r>
        <w:rPr>
          <w:sz w:val="28"/>
          <w:szCs w:val="20"/>
        </w:rPr>
      </w:r>
    </w:p>
    <w:p>
      <w:pPr>
        <w:pStyle w:val="Normal"/>
        <w:widowControl/>
        <w:suppressAutoHyphens w:val="true"/>
        <w:bidi w:val="0"/>
        <w:spacing w:lineRule="auto" w:line="240" w:before="0" w:after="0"/>
        <w:ind w:left="0" w:right="0" w:hanging="0"/>
        <w:jc w:val="center"/>
        <w:rPr>
          <w:b/>
          <w:b/>
          <w:sz w:val="28"/>
          <w:szCs w:val="20"/>
        </w:rPr>
      </w:pPr>
      <w:r>
        <w:rPr>
          <w:b/>
          <w:sz w:val="28"/>
          <w:szCs w:val="20"/>
        </w:rPr>
        <w:t>Эксперты кадастровой палаты расскажут, как устранить техническую ошибку</w:t>
      </w:r>
    </w:p>
    <w:p>
      <w:pPr>
        <w:pStyle w:val="Normal"/>
        <w:ind w:firstLine="709"/>
        <w:jc w:val="both"/>
        <w:rPr>
          <w:sz w:val="28"/>
          <w:szCs w:val="28"/>
        </w:rPr>
      </w:pPr>
      <w:r>
        <w:rPr>
          <w:sz w:val="28"/>
          <w:szCs w:val="28"/>
        </w:rPr>
      </w:r>
    </w:p>
    <w:p>
      <w:pPr>
        <w:pStyle w:val="Normal"/>
        <w:ind w:firstLine="709"/>
        <w:jc w:val="both"/>
        <w:rPr>
          <w:b/>
          <w:b/>
          <w:bCs/>
          <w:sz w:val="28"/>
          <w:szCs w:val="28"/>
        </w:rPr>
      </w:pPr>
      <w:r>
        <w:rPr>
          <w:b/>
          <w:bCs/>
          <w:sz w:val="28"/>
          <w:szCs w:val="28"/>
        </w:rPr>
        <w:t>20 октября 2022 года с 09.00 до 12.00 часов эксперты Кадастровой палаты Алтайского края ответят на вопросы жителей региона об исправлении технических ошибок в сведениях Единого государственного реестра недвижимости (ЕГРН).</w:t>
      </w:r>
    </w:p>
    <w:p>
      <w:pPr>
        <w:pStyle w:val="Normal"/>
        <w:ind w:firstLine="709"/>
        <w:jc w:val="both"/>
        <w:rPr>
          <w:sz w:val="28"/>
          <w:szCs w:val="28"/>
        </w:rPr>
      </w:pPr>
      <w:r>
        <w:rPr>
          <w:sz w:val="28"/>
          <w:szCs w:val="28"/>
        </w:rPr>
        <w:t>Как в любом информационном ресурсе, в Едином государственном реестре недвижимости (ЕРГН) могут содержаться технические ошибки. Встречаются они не часто, однако их возможность нельзя исключать. Под технической ошибкой понимается описка, опечатка, грамматическая или арифметическая ошибка, либо подобная ошибка, допущенная регистрирующим органом и приведшая к несоответствию сведений, содержащихся в ЕГРН, сведениям в документах, на основании которых в ЕГРН вносилась информация.</w:t>
      </w:r>
    </w:p>
    <w:p>
      <w:pPr>
        <w:pStyle w:val="Normal"/>
        <w:ind w:firstLine="709"/>
        <w:jc w:val="both"/>
        <w:rPr>
          <w:sz w:val="28"/>
          <w:szCs w:val="28"/>
        </w:rPr>
      </w:pPr>
      <w:r>
        <w:rPr>
          <w:sz w:val="28"/>
          <w:szCs w:val="28"/>
        </w:rPr>
        <w:t xml:space="preserve">- Что делать собственнику, обнаружившему неточности? </w:t>
      </w:r>
    </w:p>
    <w:p>
      <w:pPr>
        <w:pStyle w:val="Normal"/>
        <w:ind w:firstLine="709"/>
        <w:jc w:val="both"/>
        <w:rPr>
          <w:sz w:val="28"/>
          <w:szCs w:val="28"/>
        </w:rPr>
      </w:pPr>
      <w:r>
        <w:rPr>
          <w:sz w:val="28"/>
          <w:szCs w:val="28"/>
        </w:rPr>
        <w:t xml:space="preserve">- С чего начать активные действия? </w:t>
      </w:r>
    </w:p>
    <w:p>
      <w:pPr>
        <w:pStyle w:val="Normal"/>
        <w:ind w:firstLine="709"/>
        <w:jc w:val="both"/>
        <w:rPr>
          <w:sz w:val="28"/>
          <w:szCs w:val="28"/>
        </w:rPr>
      </w:pPr>
      <w:r>
        <w:rPr>
          <w:sz w:val="28"/>
          <w:szCs w:val="28"/>
        </w:rPr>
        <w:t xml:space="preserve">- Как внести изменения в сведения ЕГРН? </w:t>
      </w:r>
    </w:p>
    <w:p>
      <w:pPr>
        <w:pStyle w:val="Normal"/>
        <w:ind w:firstLine="709"/>
        <w:jc w:val="both"/>
        <w:rPr>
          <w:sz w:val="28"/>
          <w:szCs w:val="28"/>
        </w:rPr>
      </w:pPr>
      <w:r>
        <w:rPr>
          <w:sz w:val="28"/>
          <w:szCs w:val="28"/>
        </w:rPr>
        <w:t xml:space="preserve">- Куда обратиться за исправлением ошибки? </w:t>
      </w:r>
    </w:p>
    <w:p>
      <w:pPr>
        <w:pStyle w:val="Normal"/>
        <w:ind w:firstLine="709"/>
        <w:jc w:val="both"/>
        <w:rPr>
          <w:sz w:val="28"/>
          <w:szCs w:val="28"/>
        </w:rPr>
      </w:pPr>
      <w:r>
        <w:rPr>
          <w:sz w:val="28"/>
          <w:szCs w:val="28"/>
        </w:rPr>
        <w:t>- Как происходит исправление технической ошибки в ЕГРН?</w:t>
      </w:r>
    </w:p>
    <w:p>
      <w:pPr>
        <w:pStyle w:val="Normal"/>
        <w:ind w:firstLine="709"/>
        <w:jc w:val="both"/>
        <w:rPr>
          <w:sz w:val="28"/>
          <w:szCs w:val="28"/>
        </w:rPr>
      </w:pPr>
      <w:r>
        <w:rPr>
          <w:sz w:val="28"/>
          <w:szCs w:val="28"/>
        </w:rPr>
        <w:t xml:space="preserve">На эти вопросы жители Алтайского края получат консультации в рамках «горячей» телефонной линии </w:t>
      </w:r>
      <w:r>
        <w:rPr>
          <w:b/>
          <w:bCs/>
          <w:sz w:val="28"/>
          <w:szCs w:val="28"/>
        </w:rPr>
        <w:t>20 октября с 09.00 до 12.00 часов.</w:t>
      </w:r>
      <w:r>
        <w:rPr>
          <w:sz w:val="28"/>
          <w:szCs w:val="28"/>
        </w:rPr>
        <w:t xml:space="preserve"> Эксперты Кадастровой палаты Алтайского края ответят на звонки по телефону </w:t>
      </w:r>
      <w:r>
        <w:rPr>
          <w:b/>
          <w:bCs/>
          <w:sz w:val="28"/>
          <w:szCs w:val="28"/>
        </w:rPr>
        <w:t>8 (3852) 55-76-59 + короткий добавочный номер 7171.</w:t>
      </w:r>
    </w:p>
    <w:p>
      <w:pPr>
        <w:pStyle w:val="Normal"/>
        <w:ind w:firstLine="709"/>
        <w:jc w:val="both"/>
        <w:rPr>
          <w:sz w:val="28"/>
          <w:szCs w:val="20"/>
        </w:rPr>
      </w:pPr>
      <w:r>
        <w:rPr>
          <w:sz w:val="28"/>
          <w:szCs w:val="20"/>
        </w:rPr>
      </w:r>
    </w:p>
    <w:p>
      <w:pPr>
        <w:pStyle w:val="Normal"/>
        <w:jc w:val="both"/>
        <w:rPr/>
      </w:pPr>
      <w:r>
        <w:rPr>
          <w:rStyle w:val="Style15"/>
          <w:i/>
          <w:iCs/>
          <w:color w:val="000000"/>
          <w:sz w:val="26"/>
          <w:szCs w:val="26"/>
          <w:u w:val="none"/>
          <w:shd w:fill="FFFFFF" w:val="clear"/>
        </w:rPr>
        <w:t>Материал подготовлен Кадастровой палатой по Алтайскому краю</w:t>
      </w:r>
    </w:p>
    <w:p>
      <w:pPr>
        <w:pStyle w:val="Normal"/>
        <w:jc w:val="both"/>
        <w:rPr/>
      </w:pPr>
      <w:r>
        <w:rPr>
          <w:rStyle w:val="Style15"/>
          <w:i/>
          <w:iCs/>
          <w:color w:val="000000"/>
          <w:sz w:val="26"/>
          <w:szCs w:val="26"/>
          <w:u w:val="none"/>
          <w:shd w:fill="FFFFFF" w:val="clear"/>
        </w:rPr>
        <w:t xml:space="preserve">Контакты для СМИ: </w:t>
      </w:r>
      <w:r>
        <w:rPr>
          <w:rStyle w:val="Style15"/>
          <w:b w:val="false"/>
          <w:bCs w:val="false"/>
          <w:i/>
          <w:iCs/>
          <w:color w:val="000000"/>
          <w:sz w:val="26"/>
          <w:szCs w:val="26"/>
          <w:u w:val="none"/>
          <w:shd w:fill="FFFFFF" w:val="clear"/>
        </w:rPr>
        <w:t>тел. 8 (3852) 55-76-59, доб. 7091, 7092,</w:t>
      </w:r>
    </w:p>
    <w:p>
      <w:pPr>
        <w:pStyle w:val="Normal"/>
        <w:jc w:val="both"/>
        <w:rPr/>
      </w:pPr>
      <w:r>
        <w:rPr>
          <w:rStyle w:val="Style15"/>
          <w:b w:val="false"/>
          <w:bCs w:val="false"/>
          <w:i/>
          <w:iCs/>
          <w:color w:val="000000"/>
          <w:sz w:val="26"/>
          <w:szCs w:val="26"/>
          <w:u w:val="none"/>
          <w:shd w:fill="FFFFFF" w:val="clear"/>
          <w:lang w:eastAsia="ru-RU"/>
        </w:rPr>
        <w:t xml:space="preserve">адрес электронной почты: </w:t>
      </w:r>
      <w:hyperlink r:id="rId3">
        <w:r>
          <w:rPr>
            <w:b w:val="false"/>
            <w:bCs w:val="false"/>
            <w:i/>
            <w:iCs/>
            <w:color w:val="000000"/>
            <w:sz w:val="26"/>
            <w:szCs w:val="26"/>
            <w:u w:val="none"/>
            <w:shd w:fill="FFFFFF" w:val="clear"/>
            <w:lang w:val="en-US" w:eastAsia="ru-RU"/>
          </w:rPr>
          <w:t>press</w:t>
        </w:r>
        <w:r>
          <w:rPr>
            <w:b w:val="false"/>
            <w:bCs w:val="false"/>
            <w:i/>
            <w:iCs/>
            <w:color w:val="000000"/>
            <w:sz w:val="26"/>
            <w:szCs w:val="26"/>
            <w:u w:val="none"/>
            <w:shd w:fill="FFFFFF" w:val="clear"/>
            <w:lang w:eastAsia="ru-RU"/>
          </w:rPr>
          <w:t>@22.</w:t>
        </w:r>
        <w:r>
          <w:rPr>
            <w:b w:val="false"/>
            <w:bCs w:val="false"/>
            <w:i/>
            <w:iCs/>
            <w:color w:val="000000"/>
            <w:sz w:val="26"/>
            <w:szCs w:val="26"/>
            <w:u w:val="none"/>
            <w:shd w:fill="FFFFFF" w:val="clear"/>
            <w:lang w:val="en-US" w:eastAsia="ru-RU"/>
          </w:rPr>
          <w:t>kadastr</w:t>
        </w:r>
        <w:r>
          <w:rPr>
            <w:b w:val="false"/>
            <w:bCs w:val="false"/>
            <w:i/>
            <w:iCs/>
            <w:color w:val="000000"/>
            <w:sz w:val="26"/>
            <w:szCs w:val="26"/>
            <w:u w:val="none"/>
            <w:shd w:fill="FFFFFF" w:val="clear"/>
            <w:lang w:eastAsia="ru-RU"/>
          </w:rPr>
          <w:t>.</w:t>
        </w:r>
        <w:r>
          <w:rPr>
            <w:b w:val="false"/>
            <w:bCs w:val="false"/>
            <w:i/>
            <w:iCs/>
            <w:color w:val="000000"/>
            <w:sz w:val="26"/>
            <w:szCs w:val="26"/>
            <w:u w:val="none"/>
            <w:shd w:fill="FFFFFF" w:val="clear"/>
            <w:lang w:val="en-US" w:eastAsia="ru-RU"/>
          </w:rPr>
          <w:t>ru</w:t>
        </w:r>
      </w:hyperlink>
      <w:r>
        <w:rPr>
          <w:rStyle w:val="Style15"/>
          <w:b w:val="false"/>
          <w:bCs w:val="false"/>
          <w:i/>
          <w:iCs/>
          <w:color w:val="000000"/>
          <w:sz w:val="26"/>
          <w:szCs w:val="26"/>
          <w:u w:val="none"/>
          <w:shd w:fill="FFFFFF" w:val="clear"/>
          <w:lang w:val="en-US" w:eastAsia="ru-RU"/>
        </w:rPr>
        <w:t xml:space="preserve">. </w:t>
      </w:r>
    </w:p>
    <w:p>
      <w:pPr>
        <w:pStyle w:val="Normal"/>
        <w:jc w:val="both"/>
        <w:rPr/>
      </w:pPr>
      <w:r>
        <w:rPr>
          <w:rStyle w:val="Style15"/>
          <w:b w:val="false"/>
          <w:bCs w:val="false"/>
          <w:i/>
          <w:iCs/>
          <w:color w:val="000000"/>
          <w:sz w:val="26"/>
          <w:szCs w:val="26"/>
          <w:u w:val="none"/>
          <w:shd w:fill="FFFFFF" w:val="clear"/>
          <w:lang w:val="ru-RU" w:eastAsia="ru-RU"/>
        </w:rPr>
        <w:t>Официальная страница в соц. сети: https://vk.com/kadastr22</w:t>
      </w:r>
    </w:p>
    <w:sectPr>
      <w:type w:val="nextPage"/>
      <w:pgSz w:w="11906" w:h="16838"/>
      <w:pgMar w:left="1701" w:right="850"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roman"/>
    <w:pitch w:val="variable"/>
  </w:font>
  <w:font w:name="Segoe UI">
    <w:charset w:val="cc"/>
    <w:family w:val="roman"/>
    <w:pitch w:val="variable"/>
  </w:font>
</w:fonts>
</file>

<file path=word/settings.xml><?xml version="1.0" encoding="utf-8"?>
<w:settings xmlns:w="http://schemas.openxmlformats.org/wordprocessingml/2006/main">
  <w:zoom w:percent="12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e7956"/>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ru-RU" w:eastAsia="ru-RU"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3"/>
    <w:uiPriority w:val="99"/>
    <w:semiHidden/>
    <w:qFormat/>
    <w:rsid w:val="009e7956"/>
    <w:rPr>
      <w:rFonts w:ascii="Tahoma" w:hAnsi="Tahoma" w:eastAsia="Times New Roman" w:cs="Tahoma"/>
      <w:sz w:val="16"/>
      <w:szCs w:val="16"/>
      <w:lang w:eastAsia="ru-RU"/>
    </w:rPr>
  </w:style>
  <w:style w:type="character" w:styleId="Style15">
    <w:name w:val="Интернет-ссылка"/>
    <w:rPr>
      <w:color w:val="0000FF"/>
      <w:u w:val="single"/>
    </w:rPr>
  </w:style>
  <w:style w:type="character" w:styleId="Style16">
    <w:name w:val="Посещённая гиперссылка"/>
    <w:rPr>
      <w:color w:val="800000"/>
      <w:u w:val="single"/>
    </w:rPr>
  </w:style>
  <w:style w:type="paragraph" w:styleId="Style17">
    <w:name w:val="Заголовок"/>
    <w:basedOn w:val="Normal"/>
    <w:next w:val="Style18"/>
    <w:qFormat/>
    <w:pPr>
      <w:keepNext w:val="true"/>
      <w:spacing w:before="240" w:after="120"/>
    </w:pPr>
    <w:rPr>
      <w:rFonts w:ascii="Liberation Sans" w:hAnsi="Liberation Sans" w:eastAsia="Microsoft YaHei" w:cs="Mangal"/>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Mangal"/>
    </w:rPr>
  </w:style>
  <w:style w:type="paragraph" w:styleId="Style20">
    <w:name w:val="Caption"/>
    <w:basedOn w:val="Normal"/>
    <w:qFormat/>
    <w:pPr>
      <w:suppressLineNumbers/>
      <w:spacing w:before="120" w:after="120"/>
    </w:pPr>
    <w:rPr>
      <w:rFonts w:cs="Mangal"/>
      <w:i/>
      <w:iCs/>
      <w:sz w:val="24"/>
      <w:szCs w:val="24"/>
    </w:rPr>
  </w:style>
  <w:style w:type="paragraph" w:styleId="Style21">
    <w:name w:val="Указатель"/>
    <w:basedOn w:val="Normal"/>
    <w:qFormat/>
    <w:pPr>
      <w:suppressLineNumbers/>
    </w:pPr>
    <w:rPr>
      <w:rFonts w:cs="Mangal"/>
    </w:rPr>
  </w:style>
  <w:style w:type="paragraph" w:styleId="BalloonText">
    <w:name w:val="Balloon Text"/>
    <w:basedOn w:val="Normal"/>
    <w:link w:val="a4"/>
    <w:uiPriority w:val="99"/>
    <w:semiHidden/>
    <w:unhideWhenUsed/>
    <w:qFormat/>
    <w:rsid w:val="009e7956"/>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press@22.kadastr.ru"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Application>LibreOffice/7.1.1.2$Windows_X86_64 LibreOffice_project/fe0b08f4af1bacafe4c7ecc87ce55bb426164676</Application>
  <AppVersion>15.0000</AppVersion>
  <Pages>1</Pages>
  <Words>195</Words>
  <Characters>1296</Characters>
  <CharactersWithSpaces>1482</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2022-03-16T07:53:00Z</dcterms:created>
  <dc:creator>Слободянник Юлия Олеговна</dc:creator>
  <dc:description/>
  <dc:language>ru-RU</dc:language>
  <cp:lastModifiedBy/>
  <dcterms:modified xsi:type="dcterms:W3CDTF">2022-10-14T08:44:50Z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